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TAşıNMAZ SATış VAADI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SATIŞ VAADİ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Vaad Eden (Satıcı):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Vaad Alan (Alıcı): [Ad Soyad] — T.C.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Vaad eden; [TAPU BİLGİLERİ: İl/İlçe/Mahalle/Ada/Parsel] adresindeki taşınmazı, [BEDEL] TL bedelle vaad alana satmayı; vaad alan da satın almayı kabul ve taahhüt eder. İşbu sözleşme, Tapu Kanunu'nun 26. maddesi uyarınca noterde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BEDEL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Satış bedeli [TUTAR] TL olup; [ÖDEME PLANI: peşinat ... TL + devirde kalan ... TL] şeklinde ödenecektir. Ödemeler banka kanalıyla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DEVİR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Mülkiyetin devri; [DEVİR TARİHİ] tarihinde ilgili Tapu Müdürlüğü'nde düzenlenecek resmî satış sözleşmesiyle gerçekleştirilir. Vaad eden, taşınmaz üzerindeki takyidatları (ipotek, haciz) devir öncesi kaldırmakla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AYIP VE BEYAN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Vaad eden; taşınmazın imar ve mülkiyet durumuna ilişkin beyanlarının doğruluğunu taahhüt eder. [Şerh: Alıcı lehine tapuya satış vaadi şerhi konulacaktır.]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Uyuşmazlıklarda [İL] Mahkemeleri ve icra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noterde düzenlenmiş, taraflarca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VAAD EDEN: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VAAD ALAN: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