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TAşıNMAZ SATış VAADI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TAŞINMAZ SATIŞ VAADİ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Vaad Eden (Satıcı):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Vaad Alan (Alıcı): [Ad Soyad] — T.C.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Vaad eden; [TAPU BİLGİLERİ: İl/İlçe/Mahalle/Ada/Parsel] adresindeki taşınmazı, [BEDEL] TL bedelle vaad alana satmayı; vaad alan da satın almayı kabul ve taahhüt eder. İşbu sözleşme, Tapu Kanunu'nun 26. maddesi uyarınca noterde düzenlenmiştir.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BEDEL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Satış bedeli [TUTAR] TL olup; [ÖDEME PLANI: peşinat ... TL + devirde kalan ... TL] şeklinde ödenecektir. Ödemeler banka kanalıyla yapılır.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DEVİR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Mülkiyetin devri; [DEVİR TARİHİ] tarihinde ilgili Tapu Müdürlüğü'nde düzenlenecek resmî satış sözleşmesiyle gerçekleştirilir. Vaad eden, taşınmaz üzerindeki takyidatları (ipotek, haciz) devir öncesi kaldırmakla yükümlüdür.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AYIP VE BEYAN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Vaad eden; taşınmazın imar ve mülkiyet durumuna ilişkin beyanlarının doğruluğunu taahhüt eder. [Şerh: Alıcı lehine tapuya satış vaadi şerhi konulacaktır.]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Uyuşmazlıklarda [İL] Mahkemeleri ve icra daireleri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noterde düzenlenmiş, taraflarca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VAAD EDEN: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VAAD ALAN: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