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TAHLIYE TAAHHüDü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TAHLİYE TAAHHÜDÜ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[ADRES] adresindeki taşınmazın kiracısı [KİRACI ADI]; kiraya veren [KİRAYA VEREN ADI]'e karşı, işbu taşınmazı en geç [TAHLİYE TARİHİ] tarihinde boş ve teslim edilmiş hâlde tahliye edeceğini kabul ve taahhüt eder.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tahliye taahhüdü; [KİRA SÖZLEŞMESİ TARİHİ] tarihli kira sözleşmesinin kurulmasından SONRA, [TAAHHÜT TARİHİ] tarihinde ayrıca düzenlenmiştir. Kiracı, taahhüt edilen tarihte taşınmazı tahliye etmediği takdirde; kiraya verenin, 6098 sayılı Türk Borçlar Kanunu'nun 352. maddesi uyarınca icra yoluyla tahliye ve tahliye davası açma haklarını saklı olduğunu kabul eder.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KİRACI: [Ad Soyad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[Onay (kiraya veren): 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