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REKABET YASAğı SöZLEşMESI ÖRNEğI (İşçI ILE)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REKABET YASAĞI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İşveren: [ŞİRKET UNVANI] — Vergi No: [VERGİ NO]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İşçi: [AD SOYAD] — T.C. No: [T.C. NO] — Adres: [ADRES]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sözleşmenin konusu, işçinin [TARİH] tarihli iş sözleşmesi kapsamında edindiği bilgi ve deneyim çerçevesinde, iş ilişkisinin sona ermesinden sonra rekabet etmeme yükümlülüğünün sınırlarının belirlenmesidir.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İŞÇİNİN HİZMET GÖRDÜĞÜ ALAN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İşçi, işveren nezdinde [FAALİYET ALANI / ÜRÜN-HİZMET GRUBU] ile ilgili görevleri yerine getirmektedir. İşverenin korunmaya değer menfaatleri; müşteri çevresi, [TEDARİKÇİ AĞI], [ÜRETİM/TEKNİK BİLGİ], ticari sır ve iş geliştirme yöntemlerinden oluşur.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REKABET YASAĞININ KAPSAMI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İşçi, iş sözleşmesinin sona ermesinden itibaren [SÜRE — en fazla 2 yıl] boyunca, [COĞRAFİ ALAN: örn. Türkiye geneli / İstanbul, Kocaeli, Bursa illeri] sınırları içinde;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a) İşverenle aynı alanda faaliyet gösteren gerçek veya tüzel kişilerle iş sözleşmesi yapmamayı,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b) Kendi adına veya başkası hesabına aynı alanda ticari faaliyette bulunmamayı,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c) İşverenin müşteri çevresine doğrudan ya da dolaylı olarak hizmet sunmamayı,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d) İşverene ait ticari sır ve özel bilgileri kullanmamayı ve üçüncü kişilere açıklamamayı,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kabul ve taahhüt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CEZAİ ŞART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İşçinin işbu sözleşmenin 4. maddesine aykırı davranması hâlinde, işverene [TUTAR] TL cezai şart ödemeyi kabul eder. Cezai şartın ödenmesi, işverenin fazlaya ilişkin zararının tazmini ve yasağın kaldırılması talebi haklarını ortadan kaldırmaz.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YASAKTAN KURTULMA HÂLLERİ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Haklı bir neden olmaksızın iş sözleşmesinin işveren tarafından feshedilmesi hâlinde işçi, rekabet yasağından kurtulmayı talep edebilir. Aynı şekilde işverenin sözleşmeye aykırı davranışı hâlinde de bu talep ileri sürülebilir.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SÜRE VE YER SINIRININ ORANTILILIĞI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Taraflar, işbu sözleşmede öngörülen sınırların işverenin korunmaya değer menfaatleriyle orantılı olduğunu ve işçinin geçim imkânlarını aşırı biçimde kısıtlamadığını beyan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YÜRÜRLÜK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Türk Borçlar Kanunu'nun 444 vd. maddeleri uyarınca, taraflarca okunarak [TARİH] tarihinde iki nüsha hâlinde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İŞVEREN: [ŞİRKET UNVANI] — Yetkili: [AD SOYAD] — İmza/Kaşe: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İŞÇİ: [AD SOYAD] — 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