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PROJE BAZLı İş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PROJE BAZLI İŞ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İşveren ile İşçi / Yüklenici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[PROJE ADI] projesinin [tarih] tarihine kadar tamamlanması için çalışmayı üstlenir. Proje kapsamı ekli Proje Tanım Belgesi'nde yer alır.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SÜRE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[BAŞLANGIÇ] tarihinde başlar, projenin kabulü ile sona erer. Tahmini bitiş: [TARİH].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ÇALIŞMA YERI VE ŞEKLI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Çalışma [işyerinde / uzaktan / karma] yürütülür.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ÜCRET VE HAKEDIŞ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Ücret [TUTAR] TL/[periyot] olup [aylık / aşama bazlı hakediş] olarak ödenir. Nihai ödeme, proje kabulünü takiben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TESLIM EDILEBILIRLER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Proje aşağıdaki çıktıları üretir: [1] [2] [3]. Her çıktı, kabul kriterlerine uygunluğu test edilerek kabul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KABUL SÜRECI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Kabul, [GÜN] gün içinde yapılır. Aykırılık bulunursa düzeltme süresi [SÜRE]'dir.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FIKRI MÜLKIYET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Proje kapsamında üretilen eserlerin mali hakları, bedelin ödenmesiyle işverene devredilir.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GIZLILIK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proje kapsamında öğrendiği bilgileri gizli tutar.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FESIH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Haklı neden olmaksızın fesih hâlinde, o güne kadarki hakediş ve varsa cezai şart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