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ÖDüNç PARA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PARA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Veren: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Alan: [Ad Soyad] — T.C.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veren; ödünç alana [TUTAR YAZIYLA] ([TUTAR RAKAMLA] TL) ödünç para vermiştir. Ödünç alan, işbu tutarı aşağıdaki koşullarla geri ödemeyi kabul ve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ÖDEME (TESLİM)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tutarı, sözleşmenin imzalandığı tarihte [BANKA HESABI: IBAN] üzerinden ödünç alana teslim edilmiştir. Teslim, ödeme dekontuyla belgelenir.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GERİ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tutarı; [VADE/TAKSİT PLANI: örn. [TARİH] tarihinde tek seferde / her ayın [GÜN]'ünde [TUTAR] TL taksitle] geri ödenecektir. Ödemeler [BANKA] hesabına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FAİZ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ödünç bedeli için [FAİZ: yıllık %... / faiz yok] kararlaştırmıştır.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TEMERRÜT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alan, vadesinde ödeme yapmazsa; ödenmeyen tutar için [vade tarihinden itibaren yasal temerrüt faizi / kararlaştırılan faiz] işler ve ödünç veren tüm alacağın muaccel olmasını isteyebilir.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Uyuşmazlıklarda [İL] Mahkemeleri ve İcra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düzenlenmiş, taraflarca okunarak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VEREN: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ALAN: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