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KONUT KIRA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KONUT KİRA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(Mal Sahibi): [Ad Soyad] — T.C. No: [T.C.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Kiracı: [Ad Soyad] — T.C. No: [T.C.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Aşağıdaki maddelerin taraflarca okunup kabul edildiği ve işbu sözleşmenin [TARİH] tarihinde imzalandığı kabul edilmiştir.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SÖZLEŞMENİN KONUSU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veren; [ADRES] adresindeki [daire no / bağımsız bölüm] konutunu, mesken olarak kullanılmak üzere kiracıya kiraya vermeyi, kiracı da bu konutu kiralayarak aylık kira bedelini ödemeyi kabul ve taahhüt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KİRA BEDELİ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Aylık kira bedeli [TUTAR] TL'dir. Kira bedeli, her ayın [GÜN]'üne kadar [BANKA HESABI/NAKİT] yöntemiyle ödenir. Ödemeye ilişkin dekont/ödeme belgesi ispat aracıdır.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GÜVENCE (DEPOZİTO)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Kiracı, sözleşme imzasında kiraya verene [TUTAR] TL güvence (depozito) bedeli ödemiştir. Depozito, sözleşmenin sona ermesi ve kiralananın tahliyesi sonrasında kira ve hasar alacakları mahsup edilerek kiracıya iade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KİRA ARTIRIMI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Taraflar, kira bedelinin her yıl sözleşmenin yenilendiği tarihte [ORAN: %... / TÜFE] oranında artırılmasını kararlaştırmıştır. Kanuni sınırların üzerinde artış yapılamaz.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KİRALANANIN KULLANIMI VE BAKIMI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Kiracı, konutu özenle kullanır; olağan kullanımdan kaynaklanan eksiklikleri kiraya verene bildirir. Olağan bakım ve küçük onarımlar kiracıya, büyük onarımlar kiraya verene aittir. Kiracı, konutta [kiraya verenin yazılı izni olmadan] tadilat yapamaz, konutu başkasına devredemez veya alt kiraya veremez.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AİDAT VE GİDERLER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[Varsa] Apartman/yönetim aidatı [kiraya veren/kiracı] tarafından ödenir. Elektrik, su, doğalgaz, internet gibi tüketim giderleri kiracıya aittir.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SÖZLEŞMENİN SÜRESİ VE FESHİ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[SÜRE: 1 YIL] sürelidir. Süre sonunda taraflar fesih bildiriminde bulunmazsa sözleşme aynı koşullarla birer yıl yenilenir. Türk Borçlar Kanunu'ndaki fesih ve tahliye hükümleri saklıdır.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sözleşmeden doğan uyuşmazlıklarda [İL] Mahkemeleri ve İcra Daireleri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EK HÜKÜMLER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eşyalı kiralama, evcil hayvan, boya-badana gibi özel hükümler]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[2] nüsha olarak düzenlenmiş, taraflarca okunarak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KİRAYA VEREN: [Ad Soyad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KİRACI: [Ad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