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KıSMI SüRELI İş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KISMI SÜRELI İŞ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İşveren ile İşçi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VE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işçiyi aşağıda belirtilen işyerinde ve işte, kısmi süreli olarak çalıştırmayı; işçi de çalışmayı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İŞIN TANIMI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[GÖREV TANIMI] işini yapar ve işverenin talimatlarına uyar.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ÇALIŞMA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 haftada [SAAT] saat çalışır. Çalışma günleri ve saatleri [GÜN/SAAT] olarak belirlenmiştir.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ÜCRET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Saatlik ücret [TUTAR] TL'dir. Aylık ödeme, fiilen çalışılan saat üzerinden hesaplanır ve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EŞIT DAVRANMA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İşveren, kısmi süreli işçiye tam süreli emsaliyle aynı veya eşdeğer iş için ayrım yapmaksızın eşit davranır (4857 s.K. m.13).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FAZLA ÇALIŞMA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İşçinin onayı olmadan fazla çalışma yaptırılamaz. Fazla çalışma hâlinde yasal zam oranları uygulanır.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YILLIK İZIN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Yıllık ücretli izin hakkı, kısmi süreli çalışmada da oransal olarak hesaplanır ve kullandırılır.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SOSYAL GÜVENLIK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İşçi, çalışılan gün sayısı üzerinden SGK'ya bildirilir; prim ödemeleri işveren tarafından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SÖZLEŞMENIN SONA ERMESI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yasal bildirim sürelerine uyarak sözleşmeyi feshedebilir. Kıdem ve ihbar hakları saklıdır.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