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KIRA ARTış TAAHHüTNAMESI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ARTIŞ TAAHHÜTNAMESI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Kiracı ile Kiraya Veren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taahhütname, [ADRES] adresindeki taşınmazın kira bedelinin yenilenen dönemlerde hangi oranda artırılacağını belirlemek amacıyla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ARTIŞ ORANI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bedeli, her yenilenen kira yılında bir önceki yılın TÜFE on iki aylık ortalamasına göre artırılır. Taraflar, yasal üst sınırı aşan bir artış kararlaştırmamıştır.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YASAL SINIR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Türk Borçlar Kanunu m.344 uyarınca kira artışı, bir önceki kira yılında gerçekleşen on iki aylık TÜFE ortalamasını aşamaz. Bu sınırı aşan sözleşme hükümleri geçersizdir.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BILDIRIM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veren, artış oranını yenilenen dönem başlangıcından en az 30 gün önce yazılı olarak kiracıya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KABUL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işbu taahhütnameyi okuyarak ve anlayarak kabul etmiştir.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6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