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KEFALET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KEFALET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Alacaklı: [Ad Soyad / Unvan]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Kefil: [Ad Soyad] — T.C.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Borçlu, alacaklıya olan [BORCUN KAYNAĞI: örn. [TARİH] tarihli ödünç sözleşmesinden doğan] borcundan dolayı alacaklıya [TUTAR YAZIYLA] ([TUTAR] TL) borçludur.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KEFALET BEYANI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Kefil; işbu borç için, [ADİ / MÜTESELSİL] kefil sıfatıyla, azami [TUTAR] TL'ye kadar kefil olduğunu kabul ve beyan eder. Kefilin sorumluluğu, yazılı olarak beyan ettiği bu tutarla sınırlıdır. [Müteselsil ise: Alacaklı, borcun ödenmemesi hâlinde doğrudan kefile başvurabilir.]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SORUMLULUĞUN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Kefilin sorumluluğu; ana para ile [varsa: sözleşmede belirtilen faiz ve fer'iler] ile sınırlıdır. Kefil, kendisine yazılı bildirim yapılmadıkça süresi uzatılan veya kapsamı genişletilen borçtan sorumlu değildir.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EŞ RIZASI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 evli olup, eşinin yazılı rızası işbu sözleşmeye eklenmiştir (TBK m.584). [Bekâr ise: Bu madde uygulanmaz.]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Borcun tamamen ödenmesiyle kefalet kendiliğinden sona erer.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3 nüsha düzenlenmiş, taraflarca okunarak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ALACAKLI: [Ad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BORÇLU: [Ad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KEFİL: [Ad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[Eş rızası: 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