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İşYERI DEVIR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İŞYERİ DEVİR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Devreden: [Ad Soyad / Unvan] — 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Devralan: [Ad Soyad / Unvan] — Vergi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DEVİR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Devreden; [İŞYERİ ADI VE ADRESİ] adresindeki işyerini, aşağıda listelenen unsurlarıyla birlikte devralana devreder: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Demirbaş ve ekipman listesi: [EK-1]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Stok listesi: [EK-2]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[Varsa: marka/ticari unvan, müşteri portföyü, kira sözleşmesi hakları]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DEVİR BEDELİ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 bedeli [TUTAR] TL'dir. Ödeme; [PEŞİN / TAKSİT PLANI] olarak yapılır. Devir bilançosu ve envanter listeleri eklerde sunulmuştur.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BORÇ VE YÜKÜMLÜLÜKLER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Devreden; işyerinin devir tarihinden önceki borç ve yükümlülüklerini beyan eder. [Ticari işletme devri kapsamında devralan, devir bilançosunda yer alan borçlardan kural olarak sorumludur; taraflar bu sorumluluğun kapsamını aşağıdaki şekilde kararlaştırmıştır: 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ÇALIŞANLAR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İşyerinde çalışan işçilerin iş sözleşmeleri, kıdem süreleriyle birlikte devralana geçer (4857/6). İşçi alacaklarından devralan da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KİRA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 kiralık ise; kira sözleşmesinin devri için mal sahibinin yazılı rızası alınmıştır [EK-3].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Uyuşmazlıklarda 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düzenlenmiş, taraflarca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DEVREDEN: [Ad Soyad / Kaşe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DEVRALAN: [Ad Soyad / Kaşe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