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İşçI DEVRI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 DEVRI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Ödünç Veren İşveren ile Ödünç Alan İşveren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veren işveren, aşağıda belirtilen işçilerini, geçici olarak ödünç alan işverenin işyerinde çalıştırmak üzere devreder.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İŞÇILER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Devredilen işçiler Ek-1'deki listede belirtilmiştir. İşçilerin onayı yazılı olarak alınmıştır.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DEVIR SÜRESI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Devir [BAŞLANGIÇ] – [BİTİŞ] tarihleri arasında olup toplam [SÜRE] sürer. Geçici iş ilişkisi 4857 s.K. m.7'deki süre sınırına tabidir.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İŞVERENLIK SORUMLULUĞU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sözleşmesinden doğan ücret, SGK primi ve diğer yükümlülükler ödünç veren işverende kalır.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İŞ SAĞLIĞI VE GÜVENLIĞI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alan işveren, işçilere İSG eğitimi vermek, koruyucu donanım sağlamak ve iş kazalarını bildirmekle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ÜCRET KARŞILIĞI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Ödünç alan işveren, ödünç veren işverene çalışılan gün başına [TUTAR] TL öder.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TALIMATLAR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İşçiler, ödünç alan işverenin iş organizasyonuna ilişkin talimatlarına uyar.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İŞÇI DEĞIŞIKLIĞI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 değişikliği tarafların yazılı onayıyla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KAZA VE SORUMLULUK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Devir sırasında oluşan iş kazasında İSG yükümlülüğünü ihlal eden taraf sorumludur.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[SÜRE] önel ile feshedebilir; devam eden iş için geçiş planı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