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İPOTEK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Alacaklı (Bankacı/Şahıs) ile Borçlu / Taşınmaz Sahibi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Borçlu, [alacaklı] lehine, aşağıda tapu bilgileri yazılı taşınmaz üzerinde [TUTAR] TL tutarında birinci derece ipotek tesis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TAŞINMAZ BILGILERI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İl/İlçe: [ ], Ada/Parsel: [ ], Bağımsız Bölüm: [ ], Tapu Kaydı: [ 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TEMINATIN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İpotek; anapara, faiz, masraf ve takip giderlerini kapsar. Üst sınır [TUTAR] TL'dir.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DERECE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İpotek [birinci / ikinci] derecededir.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BORÇLUNUN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Borçlu, taşınmazı sigortalı tutar, üzerinde alacaklının izni olmadan yeni ayni hak kurmaz, taşınmazın değerini düşürecek tasarrufta bulunmaz.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SIGORTA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Taşınmaz, alacaklı lehine teminatlı yangın ve deprem sigortası ile sigortalanır; poliçe alacaklıya teslim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ödemede temerrüde düşerse alacaklı, ipoteğin paraya çevrilmesi yoluyla alacağını talep 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İPOTEĞIN KALDIRILMASI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tamamen ödendiğinde alacaklı, ipoteğin terkinine yazılı onay verir ve masrafları kendisi karşılar.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TESCIL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Sözleşme, tapu müdürlüğünde resmî senet ile tescile tabidir.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