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28"/>
          <w:rFonts w:ascii="Calibri" w:hAnsi="Calibri"/>
        </w:rPr>
        <w:t xml:space="preserve">EşYA TAşıMA (NAKLIYE) SöZLEşMESI</w:t>
      </w:r>
    </w:p>
    <w:p>
      <w:pPr>
        <w:spacing w:after="24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EŞYA TAŞIMA (NAKLİYE) SÖZLEŞMESİ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Gönderen : [AD SOYAD / FİRMA] — T.C. No/Vergi No: [...] —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Taşıyıcı : [FİRMA ADI] — Vergi No: [...] — Adres: [...] — Plaka: [...]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TAŞIMA KONUSU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2.1. Taşınacak eşya: [EŞYA TANIMI: ev/ofis eşyası, [PARÇA] parça, tahmini [M3/KG]] (ekli listede ayrıntılıdır).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2.2. Eşyanın değer beyanı: [TUTAR] TL [sigorta: var/yok].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GÜZERGAH VE TARİH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3.1. Yükleme: [ALINACAK ADRES] — Boşaltma: [TESLİM ADRESİ]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3.2. Taşıma tarihi: [TARİH]; teslim: [TARİH/SAAT]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ÜCRET VE ÖDEME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4.1. Taşıma ücreti: [TUTAR] TL + KDV olup [PEŞİN/teslimde] ödenecektir.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4.2. [Varsa: Merdiven, asansör, uzak mesafe gibi ek hizmetler ... TL]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5. YÜKLEME VE BOŞALTMA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5.1. Yükleme ve boşaltma [GÖNDEREN/TAŞIYICI] tarafından yapılır; ambalajlama gönderenin sorumluluğundadır.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6. HASAR VE SORUMLULUK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6.1. Taşıyıcı; eşyayı teslim aldığı andan teslim edilinceye kadar geçen sürede oluşan hasar, kayıp ve ziyadan sorumludur.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6.2. Tazminat; beyan edilen değer ile sınırlıdır. Sigorta varsa hasar, sigorta poliçesi kapsamında karşılanır.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6.3. Teslim anında eşya kontrol edilir; hasar/eksiklik hâlinde İHTİRAZİ KAYIT tutanağa yazılır.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7. GEÇ TESLİM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7.1. Taşıyıcının kusuruyla geç teslimde, ücretten [ORAN] oranında indirim yapılır.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8. YÜRÜRLÜK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Taraflarca okunup imzalanmıştır. [TARİH]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GÖNDEREN: [Ad Soyad/İmza]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TAŞIYICI: [Yetkili/İmza]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 ornek sablondur; hukuki islemlerde avukatiniza danisin. —</w:t>
      </w:r>
    </w:p>
    <w:sectPr>
      <w:pgSz w:w="11906" w:h="16838"/>
      <w:pgMar w:top="1134" w:right="1134" w:bottom="1134" w:left="1134" w:header="720" w:footer="720" w:gutter="0"/>
    </w:sectPr>
  </w:body>
</w:document>
</file>