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BORç (ÖDüNç)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 Veren (Alacaklı): [AD SOYAD] — T.C. No: [T.C.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 Alan (Borçlu): [AD SOYAD] — T.C. No: [T.C. NO] — Adres: [ADRES]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sözleşmenin konusu, borç verenin borç alana [TUTAR] TL / [MİSLİ EŞYA CİNS VE MİKTARI] ödünç vermesi ve borç alanın bunu aşağıdaki koşullarla geri ödemeyi kabul etmesidir.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TESLİM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[TUTAR] TL, borç alana [TARİH] tarihinde [BANKA HAVALESİ / ELDEN] yoluyla teslim edilmiştir. [Banka havalesi ise: dekont sözleşme ekindedir.]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GERİ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Borçlu, aldığı tutarı [VADE TARİHİ] tarihine kadar geri ödeyecektir.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[Taksitli ise: Ödeme planı aşağıdaki gibidir: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- 1. Taksit: [TUTAR] TL —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- 2. Taksit: [TUTAR] TL —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...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Toplam: [TUTAR] TL]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Ödemeler [BANKA ADI / IBAN] hesabına yapılacaktır.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FAİZ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[Faiz uygulanacaksa] Taraflarca yıllık [ORAN] % faiz kararlaştırılmıştır. Faiz, kanunda öngörülen azami oranı aşmamak kaydıyla uygulanır.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[Faiz uygulanmayacaksa] İşbu borç ilişkisi faizsizdir.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TEMERRÜT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Borçlunun ödeme gününü geçirmesi hâlinde, ayrıca ihtara gerek olmaksızın temerrüde düşmüş sayılır ve yasal temerrüt faizi işletilir. Bu hâlde alacaklı, alacağın tahsili için yasal yollara başvurabilir.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TEMİNAT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Borç, aşağıdaki teminatla güvence altına alınmıştır: [KEFİL / SENET / İPOTEK / TEMİNAT YOK]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[Kefil varsa] Kefil: [AD SOYAD] — T.C. No: [NO] — Kefalet tutarı: [TUTAR] TL — Kefalet türü: [Adi / Müteselsil]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sözleşmeden doğan uyuşmazlıklarda [İL] mahkemeleri ve icra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taraflarca okunarak [TARİH] tarihinde iki nüsha hâlinde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 Veren (Alacaklı): [AD SOYAD] — İmza: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 Alan (Borçlu): [AD SOYAD] — İmza: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[Kefil]: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