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ARACıLıK (KOMISYON)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ARACILIK (KOMISYON)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Aracı ile Müvekkil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Aracı, müvekkilin [konu: taşınmaz / araç / ürün] satışı veya kiralaması için alıcı ya da kiracı bulmaya aracılık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ARACININ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Aracı, müvekkilin menfaatini korur; üçüncü kişilerin ehliyet ve ödeme gücü hakkında bildiği olumsuzlukları müvekkile açıklar.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KOMISYON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Aracılık ücreti, satış/kira bedelinin %[ORAN]'i olup [TUTAR] TL'ye kadar inebilir. Ücret, sözleşmenin karşı tarafın kabulüyle kurulması hâlinde hak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TEKEL HAKKI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Müvekkil, aracıya [münhasır/münhasır olmayan] yetki vermiştir. Mühasır yetkide müvekkil aracıyı devre dışı bırakarak işlem yaparsa ücret yine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ÜCRETIN DOĞMADIĞI HÂLLER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Aracılık edilen görüşmeler sonuçsuz kalırsa veya karşı tarafın kusuru ile sözleşme kurulmazsa ücret doğmaz; ancak yapılan masraflar [durum].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MASRAFLAR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Aracının tanıtım ve ilan masrafları [taraf]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BILGI VERME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Aracı, yürüttüğü görüşmeler hakkında müvekkile düzenli bilgi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– [BİTİŞ] arası geçerlidir; süre sonunda tekel hakkı düşer.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9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