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ARAç KIRALAMA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KİRALAMA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Kiralayan: [Unvan] — Adres: [...] — Vergi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Kiracı: [Ad Soyad] — T.C. No: [...] — Ehliyet: [Sınıf]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ARAÇ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Plaka: [...] — Marka/Model: [...] — Model Yılı: [...] — KM: [...] — Renk: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Araç, teslim anında [MEVCUT HASARLAR tutanakla belirlenir ve EK-1'dedir].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SÜRE VE BEDEL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Kiralama süresi [BAŞLANGIÇ] - [BİTİŞ] arasındadır. Aylık/günlük kira bedeli [TUTAR] TL'dir; [depozito: ... TL / kredi kartı blokajı]. Ödeme [ÖDEME KOŞULU] ile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KULLANIM VE KM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 aracı özenle kullanır; [varsa günlük km limiti: ... km/gün]. Limit aşımı [TUTAR]/km ücretlendirilir. Araç, kiracı dışında kullanılamaz; yurt dışına çıkarılamaz.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SİGORTA VE HASAR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trafik sigortası ve kasko kapsamındadır. Muafiyet tutarı [TUTAR] TL olup, kiracının kusurlu hasarlarında [muafiyet/ekspertiz] bedeli kiracıya aittir. Sigorta kapsamı dışı hasar ve trafik cezaları kiracıya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BAKIM VE TESLİM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Periyodik bakım kiralayana; günlük kontroller (lastik, sıvı) kiracıya aittir. Araç; sözleşme sonunda aynı yakıt ve temizlik seviyesinde, eksiksiz teslim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KİRALAYAN: [Kaşe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KİRACI: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