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ZINA NEDENIYLE BOşANMA DAVA DILEKçESI NASıL YAZıLıR? (TMK 161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Zina Nedeniyle Boşanma Dava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ZİNA NEDENİYLE BOŞANMA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Zina sebebine dayalı boşanma (TMK madde 161).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 olup evlilik birliği halen devam etmektedir.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 eş; [TARİH ARALIĞI] tarihlerinde [KİŞİ ADI/SOYADI] ile evlilik dışı cinsel ilişki kurmuş, bu ilişki [DELİL: mesaj kayıtları, tanık anlatımları, konaklama kayıtları vb.] ile sabittir.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Davacı, zina olgusunu [ÖĞRENME TARİHİ] tarihinde öğrenmiş olup dava yasal süresi içinde açılmıştır.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Davalının eylemleri evlilik birliğinin devamını imkânsız hâle getirmiştir.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161, 174, 175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 beyanları, mesaj/iletişim kayıtları, konaklama kayıtları, [varsa] kamera görüntüleri.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 ZİNASI nedeniyle tarafların BOŞANMALARINA; davalının kusurlu olması sebebiyle uygun miktarda maddi ve manevi tazminata, yoksulluk nafakasına hükmedilmesine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