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ZINA NEDENIYLE BOşANMA DAVA DILEKçESI NASıL YAZıLıR? (TMK 161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Zina Nedeniyle Boşanma Dava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ZİNA NEDENİYLE BOŞANMA DAVA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 Ad Soyad]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Zina sebebine dayalı boşanma (TMK madde 161).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[EVLİLİK TARİHİ] tarihinde evlenmiş olup evlilik birliği halen devam etmektedir.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Davalı eş; [TARİH ARALIĞI] tarihlerinde [KİŞİ ADI/SOYADI] ile evlilik dışı cinsel ilişki kurmuş, bu ilişki [DELİL: mesaj kayıtları, tanık anlatımları, konaklama kayıtları vb.] ile sabittir.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Davacı, zina olgusunu [ÖĞRENME TARİHİ] tarihinde öğrenmiş olup dava yasal süresi içinde açılmıştır.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Davalının eylemleri evlilik birliğinin devamını imkânsız hâle getirmiştir.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TMK madde 161, 174, 175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Tanık beyanları, mesaj/iletişim kayıtları, konaklama kayıtları, [varsa] kamera görüntüleri.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Davalının ZİNASI nedeniyle tarafların BOŞANMALARINA; davalının kusurlu olması sebebiyle uygun miktarda maddi ve manevi tazminata, yoksulluk nafakasına hükmedilmesine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