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VELAYETIN DEğIşTIRILMESI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Velayetin Değiştirilmesi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VELAYETİN DEĞİŞTİRİLMESİ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BOŞANMA DOSYASI : [MAHKEME] — [ESAS NO]]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Müşterek çocuğun velayetinin davacıya verilmesi (velayetin değiştirilmesi).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Taraflar; [BOŞANMA TARİHİ] tarihinde boşanmış olup müşterek çocuk [ÇOCUK ADI]'nın ([DOĞUM TARİHİ]) velayeti davalıya verilmiştir.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[DEĞİŞİKLİK GEREKÇESİ: örn. Davalı; çocuğun bakım ve eğitimiyle ilgilenmemekte, sağlık ve okul takibini yapmamakta, çocuğun psikolojik gelişimi olumsuz etkilenmektedir].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Çocuğun üstün yararı; velayetin DAVACIYA verilmesini gerektirmektedir.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Davacının barınma, eğitim ve bakım koşulları çocuğun ihtiyaçlarını karşılamaya elverişlidir.]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183, 336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Boşanma ilamı, tanık, okul ve sağlık raporları, sosyal inceleme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çocuğun VELAYETİNİN DAVACIYA VERİLMESİNE; gerekirse iştirak nafakası ve kişisel ilişkinin yeniden düzenlenmesine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