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VELAYETIN DEğIşTIRILMESI DAVASı DILEKçESI NASıL YAZıLıR? (TMK 183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Velayetin Değiştirilmesi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BOŞANMA DOSYASI : [MAHKEME] —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davacıya verilmesi (velayetin değiştirilmesi).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Taraflar; [BOŞANMA TARİHİ] tarihinde boşanmış olup müşterek çocuk [ÇOCUK ADI]'nın ([DOĞUM TARİHİ]) velayeti davalıya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[DEĞİŞİKLİK GEREKÇESİ: örn. Davalı; çocuğun bakım ve eğitimiyle ilgilenmemekte, sağlık ve okul takibini yapmamakta, çocuğun psikolojik gelişimi olumsuz etkilenmektedir].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Çocuğun üstün yararı; velayetin DAVACIYA verilmesini gerektirmektedir.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Davacının barınma, eğitim ve bakım koşulları çocuğun ihtiyaçlarını karşılamaya elverişlidir.]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183,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ilamı, tanık, okul ve sağlık raporları, sosyal inceleme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çocuğun VELAYETİNİN DAVACIYA VERİLMESİNE; gerekirse iştirak nafakası ve kişisel ilişkinin yeniden düzenlenmesine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