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VELAYET DEğIşIKLIğI VE KIşISEL İLIşKININ YENILENMESI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Velayet Değişikliği ve Kişisel İlişkinin Yenilenmesi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VELAYETİN DEĞİŞTİRİLMESİ VE KİŞİSEL İLİŞKİ DÜZENİNİN YENİLENMESİ DAVASI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Müşterek çocuğun velayetinin değiştirilmesi; bu talebin kabul edilmemesi hâlinde çocukla kişisel ilişki düzeninin yeniden belirlenmesi.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[BOŞANMA TARİHİ] tarihinde boşanmış, çocuk [ÇOCUK ADI]'nın velayeti davalıya verilmiş ve davacı lehine kişisel ilişki (görüşme) düzeni kurulmuştur.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Davalı, [TARİH] tarihinden itibaren davacının çocukla görüşmesini [ENGELLEME BİÇİMİ: örn. çocuğu göstermemekte, bahanelerle görüşmeyi iptal etmekte, telefonla aramalarına izin vermemektedir].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Davalı ayrıca [VELAYETİN DEĞİŞTİRİLMESİNİ GEREKTİREN DİĞER OLAYLAR: örn. çocuğun bakımını aksatmakta, sağlık sorunlarını ihmal etmektedir].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Çocuğun üstün yararı; velayetin davacıya verilmesini, bu mümkün olmazsa davacı ile çocuk arasındaki kişisel ilişkinin genişletilerek yeniden düzenlenmesini gerektirmektedir.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183, 323, 336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Tanıklar, yazışma ve mesaj kayıtları, okul kayıtları, sosyal inceleme raporu talebi ve sair yasal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Müşterek çocuğun velayetinin DAVACIYA verilmesine; aksi hâlde çocukla kişisel ilişki düzeninin [ÖRN: hafta sonu ve yaz tatilini kapsayacak şekilde] yeniden belirlenmesine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