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VELAYET DEğIşIKLIğI VE KIşISEL İLIşKININ YENILENMESI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Velayet Değişikliği ve Kişisel İlişkinin Yenilenmesi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VELAYETİN DEĞİŞTİRİLMESİ VE KİŞİSEL İLİŞKİ DÜZENİNİN YENİLENMESİ DAVASI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[T.C. Kimlik No] — Adres: [Adresiniz]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[Eşinizin Adı Soyadı] — T.C. No: [T.C. Kimlik No] — Adres: [Adresi]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Müşterek çocuğun velayetinin değiştirilmesi; bu talebin kabul edilmemesi hâlinde çocukla kişisel ilişki düzeninin yeniden belirlenmesi.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[BOŞANMA TARİHİ] tarihinde boşanmış, çocuk [ÇOCUK ADI]'nın velayeti davalıya verilmiş ve davacı lehine kişisel ilişki (görüşme) düzeni kurulmuştur.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Davalı, [TARİH] tarihinden itibaren davacının çocukla görüşmesini [ENGELLEME BİÇİMİ: örn. çocuğu göstermemekte, bahanelerle görüşmeyi iptal etmekte, telefonla aramalarına izin vermemektedir].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Davalı ayrıca [VELAYETİN DEĞİŞTİRİLMESİNİ GEREKTİREN DİĞER OLAYLAR: örn. çocuğun bakımını aksatmakta, sağlık sorunlarını ihmal etmektedir].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Çocuğun üstün yararı; velayetin davacıya verilmesini, bu mümkün olmazsa davacı ile çocuk arasındaki kişisel ilişkinin genişletilerek yeniden düzenlenmesini gerektirmektedir.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183, 323, 336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Tanıklar, yazışma ve mesaj kayıtları, okul kayıtları, sosyal inceleme raporu talebi ve sair yasal deliller.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Müşterek çocuğun velayetinin DAVACIYA verilmesine; aksi hâlde çocukla kişisel ilişki düzeninin [ÖRN: hafta sonu ve yaz tatilini kapsayacak şekilde] yeniden belirlenmesine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