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VELAYETIN DEğIşTIRILMESI DAVASı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Velayetin Değiştirilmesi Davası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VELAYETİN DEĞİŞTİRİLMESİ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[Açık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çocuğun velayetinin davacıya verilmesi (velayetin değiştirilmesi).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[MAHKEME ADI]'nin [KARAR NO] sayılı kararıyla boşanmış; müşterek çocuk [ÇOCUK ADI] ([DOĞUM TARİHİ] doğumlu) velayeti davalıya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Boşanma kararından sonra davalının davranışları nedeniyle çocuğun bakım ve gelişimi olumsuz etkilenmektedir: [SOMUT OLAYLAR: örn. davalı çocuğun eğitimiyle ilgilenmemekte, bakımını aksatmakta, davacı ile görüşmesini engellemekte, çocuk psikolojik sorunlar yaşamaktadır.]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 A EK OLAYLAR: örn. Davalının yerleşim yeri değişikliği / çocuğun yaşam koşullarının bozulması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bedensel, zihinsel ve duygusal gelişimi dikkate alındığında velayetin davacıya verilmesi çocuğun üstün yararına uygun düşecektir.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183, 336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 beyanları, okul/kreş kayıtları, sosyal inceleme raporu talebi, mesaj kayıtları, [varsa] psikolojik değerlendirme raporu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Yukarıda açıklanan nedenlerle; müşterek çocuk [ÇOCUK ADI]'nın velayetinin DAVACIYA verilmesine, yargılama giderlerinin davalıya yükletilmesine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