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VASIYETNAMENIN İPTALI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Vasiyetnamenin İptali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VASİYETNAMENİN İPTALİ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 — [Sıfatı: mirasçı / menfaati ihlal edilen]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DAVALILAR : [Vasiyetnameden yararlananlar]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 BIRAKAN : [Ad Soyad] — T.C. No: [...] — Son yerleşim yeri: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Vasiyetnamenin iptali.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Miras bırakan [AD SOYAD]; [ÖLÜM TARİHİ] tarihinde vefat etmiş, [VASİYETNAME TARİHİ] tarihli vasiyetnamesi [AÇIKLAMA TARİHİ] tarihinde açıklanmıştır.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Vasiyetname; [İPTAL SEBEBİ: örn. düzenlendiği tarihte miras bırakanın ayırt etme gücü bulunmamaktaydı / vasiyetname yanılma, aldatma, korkutma altında düzenlenmiştir / resmî şekil koşullarına uyulmamıştır] nedeniyle HUKUKA AYKIRIDIR.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Vasiyetnamedeki imza ve yazılar miras bırakana ait değildir.]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Davacının, vasiyetname nedeniyle menfaati ihlal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502-513, 557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Vasiyetname, tanık, sağlık raporları, el yazısı örnekleri,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[TARİH] tarihli vasiyetnamenin İPTALİNE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