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VASIYETNAMENIN İPTALI DAVASı DILEKçESI NASıL YAZıLıR? (TMK 557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Vasiyetnamenin İptali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VASİYETNAMENİN İPTALİ DAVA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Soyad] — T.C. No: [...] — Adres: [...] — [Sıfatı: mirasçı / menfaati ihlal edilen]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DAVALILAR : [Vasiyetnameden yararlananlar]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MİRAS BIRAKAN : [Ad Soyad] — T.C. No: [...] — Son yerleşim yeri: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Vasiyetnamenin iptali.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Miras bırakan [AD SOYAD]; [ÖLÜM TARİHİ] tarihinde vefat etmiş, [VASİYETNAME TARİHİ] tarihli vasiyetnamesi [AÇIKLAMA TARİHİ] tarihinde açıklanmıştır.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Vasiyetname; [İPTAL SEBEBİ: örn. düzenlendiği tarihte miras bırakanın ayırt etme gücü bulunmamaktaydı / vasiyetname yanılma, aldatma, korkutma altında düzenlenmiştir / resmî şekil koşullarına uyulmamıştır] nedeniyle HUKUKA AYKIRIDIR.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Vasiyetnamedeki imza ve yazılar miras bırakana ait değildir.]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Davacının, vasiyetname nedeniyle menfaati ihlal edilmiştir.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502-513, 557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Vasiyetname, tanık, sağlık raporları, el yazısı örnekleri,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[TARİH] tarihli vasiyetnamenin İPTALİNE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