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ÜCRETSIZ İZIN DILEKçESI NASıL YAZıLıR? (ÖRNEKLER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Genel Ücretsiz İzin (İş Kanunu m.14)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ÜCRETSİZ İZİN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 / TC no]); [GEREKÇE: örn. ailevi nedenler / sağlık süreci / kişisel işlerim] nedeniyle, 4857 sayılı İş Kanunu'nun 14. maddesi uyarınca [BAŞLANGIÇ TARİHİ] - [BİTİŞ TARİHİ] tarihleri arasında [SÜRE: örn. 1 ay] ücretsiz izin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İzin sürem sonunda [DÖNÜŞ TARİHİ] tarihinde görevime döneceğimi bildirir, talebimin onaylanmasını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Doğum Sonrası Ücretsiz İzin (m.74)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DOĞUM SONRASI ÜCRETSİZ İZİN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Soyadınız]; doğum nedeniyle kullandığım analık iznimin bitiş tarihi olan [ANALIK İZNİ BİTİŞ TARİHİ] tarihinden itibaren, 4857 sayılı İş Kanunu'nun 74. maddesi uyarınca [6 AY / SÜRE] süreyle ücretsiz izin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İzin sürem içinde veya sonunda işe başlamak istediğimde derhal işe alınmamı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