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AYıPLı ÜRüN BEDEL İADESI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Ayıplı Ürün Bedel İadesi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TÜKETİCİ HAKEM HEYETİ BAŞVURU DİLEKÇESİ (AYIPLI MAL)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[TÜKETİCİ HAKEM HEYETİ BAŞKANLIĞI'NA / İL TARIM VE ORMAN / TİCARET İL MÜDÜRLÜĞÜ] — [İL/İLÇE]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 (TÜKETİCİ):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Telefon: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 (SATICI): [İşletme Unvanı] — [Adres]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Ayıplı ürün nedeniyle bedel iadesi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[SATIN ALMA TARİHİ] tarihinde, [ÜRÜN ADI/MARKA/MODEL] ürününü [ÜRÜN BEDELİ] TL bedelle satın aldım ([fatura no]).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Ürün, tesliminden kısa süre sonra [AYIBIN TANIMI: örn. çalışmıyor / hasarlı çıktı / ayıplı] hâlde olduğu anlaşılmıştır.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[BİLDİRİM TARİHİ] tarihinde satıcıya yazılı/sözlü bildirimde bulundum; talebim [reddedildi / 30 gün içinde cevaplanmadı].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6502 sayılı Kanun'un 8-11. maddeleri uyarınca tüketici olarak öncelikle &lt;strong&gt;bedel iadesi&lt;/strong&gt; talebimi kullanıyorum.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DELİLLER: Fatura, garanti belgesi, [varsa] servis tutanağı, yazışma kayıtları, ürün fotoğrafları.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İSTEM: Tarafıma ödediğim [ÜRÜN BEDELİ] TL'nin iadesine karar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