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AYıPLı ÜRüN BEDEL İADESI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Ayıplı Ürün Bedel İadesi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TÜKETİCİ HAKEM HEYETİ BAŞVURU DİLEKÇESİ (AYIPLI MAL)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[TÜKETİCİ HAKEM HEYETİ BAŞKANLIĞI'NA / İL TARIM VE ORMAN / TİCARET İL MÜDÜRLÜĞÜ] — [İL/İLÇE]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(TÜKETİCİ):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(SATICI): [İşletme Unvanı]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Ayıplı ürün nedeniyle bedel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[SATIN ALMA TARİHİ] tarihinde, [ÜRÜN ADI/MARKA/MODEL] ürününü [ÜRÜN BEDELİ] TL bedelle satın aldım ([fatura no]).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Ürün, tesliminden kısa süre sonra [AYIBIN TANIMI: örn. çalışmıyor / hasarlı çıktı / ayıplı] hâlde olduğu anlaşılmıştır.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[BİLDİRİM TARİHİ] tarihinde satıcıya yazılı/sözlü bildirimde bulundum; talebim [reddedildi / 30 gün içinde cevaplanmadı].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6502 sayılı Kanun'un 8-11. maddeleri uyarınca tüketici olarak öncelikle &lt;strong&gt;bedel iadesi&lt;/strong&gt; talebimi kullanıyorum.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Fatura, garanti belgesi, [varsa] servis tutanağı, yazışma kayıtları, ürün fotoğrafları.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İSTEM: Tarafıma ödediğim [ÜRÜN BEDELİ] TL'nin iadesine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