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TRAFIK KAZASı TAZMINAT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Trafik Kazası Tazminat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TRAFİK KAZASI TAZMİNAT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DAVALILAR : 1. [Sürücü/İşleten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[Sigorta Şirketi]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(maddi) + [TUTAR] TL (manevi) — ıslah hakkı saklıdır.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Trafik kazasından kaynaklanan maddi ve manevi tazminat.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[KAZA TARİHİ] tarihinde [YER]'de meydana gelen trafik kazasında; davalı sürücünün kullandığı [PLAKA] plakalı araç, davacıya çarpmıştır.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Kaza; [KUSUR DURUMU: davalı sürücünün [KIRMIZI IŞIK İHLALİ / AŞIRI HIZ / ŞERİT İHLALİ] nedeniyle %[ORAN] kusurlu olması sonucu meydana gelmiştir (trafik kazası tespit tutanağı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Kaza sonucu davacı; [YARALANMA VE MALULİYET DURUMU] nedeniyle [TEDAVİ GİDERİ, İŞ GÖREMEZLİK, KAZANÇ KAYBI, ARAÇ HASARI] tutarında maddi zarara uğramış, [ACI VE ELEM] nedeniyle manevi zarara maruz kalmıştır.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 sigorta şirketine [BAŞVURU TARİHİ] tarihinde yazılı başvuru yapılmış; ödeme yapılmamıştır (KTK 97).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KTK madde 85-111; TBK madde 49-58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Kaza tespit tutanağı, sağlık raporları, maluliyet raporu, ekspertiz, sigorta poliçesi,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Fazlaya ilişkin haklarım saklı kalmak kaydıyla; [TUTAR] TL maddi ve [TUTAR] TL manevi tazminatın, [SİGORTA: poliçe limitiyle sınırlı / DAVALILARDAN müştereken ve müteselsilen] tahsiline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