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TRAFIK KAZASı TAZMINAT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Trafik Kazası Tazminat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KAZASI TAZMİNAT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1. [Sürücü/İşleten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[Sigorta Şirketi]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(maddi) + [TUTAR] TL (manevi) — ıslah hakkı saklıdır.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Trafik kazasından kaynaklanan maddi ve manevi tazminat.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[KAZA TARİHİ] tarihinde [YER]'de meydana gelen trafik kazasında; davalı sürücünün kullandığı [PLAKA] plakalı araç, davacıya çarpmıştır.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Kaza; [KUSUR DURUMU: davalı sürücünün [KIRMIZI IŞIK İHLALİ / AŞIRI HIZ / ŞERİT İHLALİ] nedeniyle %[ORAN] kusurlu olması sonucu meydana gelmiştir (trafik kazası tespit tutanağı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Kaza sonucu davacı; [YARALANMA VE MALULİYET DURUMU] nedeniyle [TEDAVİ GİDERİ, İŞ GÖREMEZLİK, KAZANÇ KAYBI, ARAÇ HASARI] tutarında maddi zarara uğramış, [ACI VE ELEM] nedeniyle manevi zarara maruz kalmıştır.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 sigorta şirketine [BAŞVURU TARİHİ] tarihinde yazılı başvuru yapılmış; ödeme yapılmamıştır (KTK 97).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KTK madde 85-111; TBK madde 49-58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Kaza tespit tutanağı, sağlık raporları, maluliyet raporu, ekspertiz, sigorta poliçesi,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kaydıyla; [TUTAR] TL maddi ve [TUTAR] TL manevi tazminatın, [SİGORTA: poliçe limitiyle sınırlı / DAVALILARDAN müştereken ve müteselsilen] tahsiline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