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TENKIS DAVASı DILEKçESI NASıL YAZıLıR? (TMK 560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Tenkis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TENKİS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[Mirasçı sıfatı: altsoy/eş/ana-baba]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[Tasarruf lehtarı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Saklı payı ihlal eden tasarrufun TENKİSİ (indirilmesi).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etmiştir. Davacı; miras bırakanın [YAKINLIK] sıfatıyla SAKLI PAYLI mirasçısıdır (saklı pay oranı: [ORAN]).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bırakan; [TASARRUF: örn. [TARİH] tarihli vasiyetname ile / [TARİH] tarihinde ... bağışında bulunarak] miras payının saklı payı ihlal eden kısmını davalıya kazandırmıştır.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Terekenin tasarruf edilebilir kısmı aşılmış; davacının SAKLI PAYI İHLAL EDİLMİŞTİR.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Tenkis; davacının saklı payının korunması için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506, 560-571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Vasiyetname, tapu kayıtları, bağış belgeleri, tereke tespiti,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 lehine yapılan tasarrufun, davacının saklı payını aşan kısmının TENKİSİNE (indirilmesine)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