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TEBLIGAT USULSüZLüğü ŞIKAYET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Tebligat Usulsüzlüğü Şikayet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TEBLİGAT USULSÜZLÜĞÜ ŞİKAYET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[MAHKEME/KURUM ADI]'na,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ŞİKAYETÇİ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DOSYA : [MAHKEME/KURUM] — [ESAS NO/SAYI]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[TARİH] tarihli tebligatın USULSÜZ olduğu iddiasıyla iptali ve yeniden tebliğ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[TARİH] tarihinde tarafıma tebliğ edildiği belirtilen belge; [TEBLİGATIN YAPILIŞI: örn. [ADRES] adresine yapılmıştır; ancak bu adres benim adresim değildir / tebligat tarihinde adreste bulunmuyordum / belge usulde belirtilen kişilere değil başkasına teslim edilmiştir / tebliğ şerhinde gerekli açıklamalar yer almamaktadır].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Bu nedenle tebligat; 7201 sayılı Tebligat Kanunu'na aykırıdır ve USULSÜZDÜR.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Usulsüz tebligat nedeniyle; yasal sürelerin işlememesi ve hak kaybına uğramamam gerekmektedir.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Tebligatın İPTALİNE ve tebligatın usulüne uygun şekilde YENİDEN YAPILMASINA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Tebliğ belgesi, [varsa] deliller.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