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SATış VAADI SöZLEşMESININ TESCILI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Satış Vaadi Sözleşmesinin Tescili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SATIŞ VAADİ SÖZLEŞMESİNİN TESCİLİ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(Alıcı)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(Satıcı)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: [İL/İLÇE], [MAHALLE], [ADA], [PARSEL] — [NİTELİK] — [YÜZÖLÇÜMÜ] m²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Satış vaadi sözleşmesine dayalı TAPU TESCİLİ.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arasında [TARİH] tarihli ve [YEVMİYE NO] yevmiye numaralı NOTER SATIŞ VAADİ SÖZLEŞMESİ düzenlenmiştir (sözleşme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Sözleşmeye göre; dava konusu taşınmaz, [SATIŞ BEDELİ] TL bedelle davacıya satış vaat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Davacı; satış bedelini [ÖDEME ŞEKLİ] ile ödemiş/ödemeyi taahhüt etmiştir (dekontlar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Davalı; sözleşmeye rağmen tapuyu devretmekten kaçınmaktadır.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Taşınmazın üçüncü kişilere devrinin önlenmesi için İHTİYATİ TEDBİR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237; TMK madde 716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Noter satış vaadi sözleşmesi, ödeme belgeleri, tapu kaydı.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 konusu taşınmazın DAVACI ADINA TESCİLİNE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