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SATış VAADI SöZLEşMESININ TESCILI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Satış Vaadi Sözleşmesinin Tescili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SATIŞ VAADİ SÖZLEŞMESİNİN TESCİLİ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(Alıcı)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(Satıcı)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[NİTELİK] — [YÜZÖLÇÜMÜ] m²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Satış vaadi sözleşmesine dayalı TAPU TESCİLİ.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 [TARİH] tarihli ve [YEVMİYE NO] yevmiye numaralı NOTER SATIŞ VAADİ SÖZLEŞMESİ düzenlenmiştir (sözleşme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Sözleşmeye göre; dava konusu taşınmaz, [SATIŞ BEDELİ] TL bedelle davacıya satış vaat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Davacı; satış bedelini [ÖDEME ŞEKLİ] ile ödemiş/ödemeyi taahhüt etmiştir (dekontlar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Davalı; sözleşmeye rağmen tapuyu devretmekten kaçınmaktadır.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Taşınmazın üçüncü kişilere devrinin önlenmesi için İHTİYATİ TEDBİR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237; TMK madde 716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Noter satış vaadi sözleşmesi, ödeme belgeleri, tapu kaydı.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 konusu taşınmazın DAVACI ADINA TESCİLİNE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