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TAPU İPTALI VE TESCIL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Tapu İptali ve Tescil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TAPU İPTALİ VE TESCİL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[Kayıt Maliki / Tapu Müdürlüğü]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KONUSU TAŞINMAZ : [İL/İLÇE], [MAHALLE], [ADA], [PARSEL] — [NİTELİK] — [YÜZÖLÇÜMÜ] m²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Tapu kaydının iptali ile adıma tescil.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 konusu taşınmaz, [KAYNAK: miras / satın alma / bağış] yoluyla davacıya aitken; [HUKUKA AYKIRI İŞLEM: sahte vekâletle satış / hileli devir / muvazaalı işlem / miras payının ihlali] sonucu davalı adına tescil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[HUKUKA AYKIRILIĞIN AÇIKLAMASI VE DELİLLER: işlemin tarihi, tarafların ilişkisi, bedel ödenip ödenmediği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Davacının [TAPU KAYDININ İPTALİ VE ADINA TESCİLİ] talebi haklı olup; TMK 1023 kapsamında davalının iyiniyet iddiası [varsa] geçersizdir.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Taşınmazın üçüncü kişilere devrinin önlenmesi için İHTİYATİ TEDBİR (tapuya şerh)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705, 1007, 1023-1024; TBK madde 19, 39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Tapu kaydı, vekalet ve işlem belgeleri, banka kayıtları,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 konusu taşınmazın tapu kaydının İPTALİNE ve DAVACI ADINA TESCİLİNE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