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TAPU İPTALI VE TESCIL DAVASı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Tapu İptali ve Tescil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TAPU İPTALİ VE TESCİL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[Kayıt Maliki / Tapu Müdürlüğü]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KONUSU TAŞINMAZ : [İL/İLÇE], [MAHALLE], [ADA], [PARSEL] — [NİTELİK] — [YÜZÖLÇÜMÜ] m²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Tapu kaydının iptali ile adıma tescil.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 konusu taşınmaz, [KAYNAK: miras / satın alma / bağış] yoluyla davacıya aitken; [HUKUKA AYKIRI İŞLEM: sahte vekâletle satış / hileli devir / muvazaalı işlem / miras payının ihlali] sonucu davalı adına tescil 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[HUKUKA AYKIRILIĞIN AÇIKLAMASI VE DELİLLER: işlemin tarihi, tarafların ilişkisi, bedel ödenip ödenmediği vb.]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Davacının [TAPU KAYDININ İPTALİ VE ADINA TESCİLİ] talebi haklı olup; TMK 1023 kapsamında davalının iyiniyet iddiası [varsa] geçersizdir.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Taşınmazın üçüncü kişilere devrinin önlenmesi için İHTİYATİ TEDBİR (tapuya şerh)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705, 1007, 1023-1024; TBK madde 19, 39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Tapu kaydı, vekalet ve işlem belgeleri, banka kayıtları, tanık,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 konusu taşınmazın tapu kaydının İPTALİNE ve DAVACI ADINA TESCİLİNE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