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MAHKEME KARARıYLA SOYADı DEğIşIKLIğI DAVASı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Mahkeme Kararıyla Soyadı Değişikliği Davası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SOYADI DEĞİŞİKLİĞİ DAVA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Asliye Hukuk Mahkemesi'ne,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 : [Ad Soyad] — T.C. No: [...] — Adres: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: Soyadının değiştirilmesi (TMK madde 27).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Davacının mevcut soyadı [SOYAD] olup, bu soyadının değiştirilmesi için haklı sebebim bulunmaktadır.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[HAKLI SEBEP: örn. Soyadım toplumda alay konusu olmakta ve manevi zarara yol açmaktadır / Soyadım, tanınmış başka bir kişiyle karıştırılmama neden olmaktadır / ... açıklayınız].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[Varsa: Karışıklık ve mağduriyet örnekleri ekte sunulmuştur.]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Değiştirilmesini talep ettiğim soyadı: [YENİ SOYAD] olup kamu düzenine ve üçüncü kişilerin haklarına zarar vermemektedir.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Türk Medeni Kanunu madde 27; Nüfus Hizmetleri Kanunu.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Nüfus kayıt örneği, kimlik fotokopisi, tanık beyanları, [varsa] karışıklık/mağduriyet belgeleri.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Soyadımın [YENİ SOYAD] olarak DEĞİŞTİRİLMESİNE ve kararın nüfus müdürlüğüne bildirilmesine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