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ÖZEL HASTANE FARK ÜCRETI İTIRAZ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Özel Hastane Fark Ücreti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ÖZEL HASTANE FARK ÜCRETİ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[HASTANE ADI] Hasta Hakları / Mali İşler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Hasta/Sigortalı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Tedavi : [TARİH] — [BÖLÜM/TEDAVİ] — Fatura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Tedavim nedeniyle tahsil edilen [TUTAR] TL fark (ilave) ücretinin İADESİ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hastanenizde [BÖLÜM/TEDAVİ] nedeniyle tedavi oldum; SGK ile anlaşmanız kapsamında işlem yapılmıştır.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Tedavim sırasında; [İTİRAZ GEREKÇESİ: örn. tarafımdan yazılı onay alınmadan [TUTAR] TL fark ücreti tahsil edilmiştir / tahsil edilen fark, SUT'ta belirlenen oranların üzerindedir / acil müdahale nedeniyle fark ücreti alınması mevzuata aykırıdır].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Sağlık Uygulama Tebliği ve ilgili mevzuat uyarınca; tahsil edilen fark ücretinin TARAFIMA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karşılanmaması hâlinde SGK'ya ve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[varsa] onay belgesi, SGK kayıtları.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