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ORTAKLığıN GIDERILMESI (İZALE-I ŞüYU)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Ortaklığın Giderilmesi (İzale-i Şüyu)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ORTAKLIĞIN GİDERİLMESİ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 — Payı: [PAY/ORAN]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DAVALILAR : [Diğer paydaşların ad, T.C. no ve adresleri]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KONUSU TAŞINMAZ : [İL/İLÇE], [MAHALLE], [ADA], [PARSEL] — [NİTELİK] — [YÜZÖLÇÜMÜ] m²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Ortaklığın giderilmesi (satış yoluyla paylaşma).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 konusu taşınmaz; davacı ve davalılar adına [TAPU KAYDI: cilt, sayfa, edinme tarihi] itibarıyla paylı mülkiyet hâlinde kayıtlıdır.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Taraflar; [MİRASÇI / SATIN ALMA] sıfatıyla paydaş olup taşınmaz üzerinde fiilen birlikte kullanım mümkün değildir ve anlaşarak ortaklığı sona erdirememişlerdir.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Taşınmazın niteliği ve tarafların durumu dikkate alındığında; ortaklığın SATIŞ YOLUYLA giderilmesi uygundur.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Taşınmaz üzerinde kullanım/işgal uyuşmazlığı bulunmaktadır.]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642-644 ve ilgili maddeler; HMK 376.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Tapu kaydı, veraset ilamı (miras hâlinde), keşif,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 konusu taşınmazda ORTAKLIĞIN GİDERİLMESİNE; taşınmazın SATIŞI suretiyle paylaştırılmasına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