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ORTAKLığıN GIDERILMESI (İZALE-I ŞüYU) DAVASı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Ortaklığın Giderilmesi (İzale-i Şüyu)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ORTAKLIĞIN GİDERİLMESİ DAVA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Sulh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 — Payı: [PAY/ORAN]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DAVALILAR : [Diğer paydaşların ad, T.C. no ve adresleri]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KONUSU TAŞINMAZ : [İL/İLÇE], [MAHALLE], [ADA], [PARSEL] — [NİTELİK] — [YÜZÖLÇÜMÜ] m²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Ortaklığın giderilmesi (satış yoluyla paylaşma).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 konusu taşınmaz; davacı ve davalılar adına [TAPU KAYDI: cilt, sayfa, edinme tarihi] itibarıyla paylı mülkiyet hâlinde kayıtlıdır.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Taraflar; [MİRASÇI / SATIN ALMA] sıfatıyla paydaş olup taşınmaz üzerinde fiilen birlikte kullanım mümkün değildir ve anlaşarak ortaklığı sona erdirememişlerdir.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Taşınmazın niteliği ve tarafların durumu dikkate alındığında; ortaklığın SATIŞ YOLUYLA giderilmesi uygundur.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[Varsa: Taşınmaz üzerinde kullanım/işgal uyuşmazlığı bulunmaktadır.]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TMK madde 642-644 ve ilgili maddeler; HMK 376.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Tapu kaydı, veraset ilamı (miras hâlinde), keşif,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 konusu taşınmazda ORTAKLIĞIN GİDERİLMESİNE; taşınmazın SATIŞI suretiyle paylaştırılmasına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