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NIşAN HEDIYELERININ İADESI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Nişan Hediyelerinin İadesi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NİŞAN HEDİYELERİNİN İADESİ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[KARŞI TARAF AD SOYAD]'a,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: [Ad Soyad] — T.C. No: [Varsa] — Adres: [Varsa]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Nişanlılığın sona ermesi nedeniyle verilen hediyelerin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[NİŞAN TARİHİ] tarihinde nişanlandık; nişanlılık [SONA ERME TARİHİ] tarihinde [SONA ERME SEBEBİ] nedeniyle sona ermiştir.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Nişan dolayısıyla tarafınıza verilen; [HEDİYE LİSTESİ: örn. tektaş yüzük, alyans, bilezik (g ram), takı seti] hediyelerin iadesini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Söz konusu hediyeler; nişanlılık ilişkisi çerçevesinde verilmiş olup Türk Medeni Kanunu'nun 122. maddesi uyarınca geri istenebilir niteliktedir.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Hediyelerin [SÜRE: örn. 15 gün] içinde tarafıma İADESİNİ; aksi hâlde yasal yollara (iade davası)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karşılanmasını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hediye alım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