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NIşAN HEDIYELERININ İADESI TALEBI NASıL YAZıLıR? (TMK 122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Nişan Hediyelerinin İadesi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NİŞAN HEDİYELERİNİN İADESİ TALEBİ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[KARŞI TARAF AD SOYAD]'a,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TALEP EDEN : [Ad Soyad] — T.C. No: [...] — Adres: [...] — Telefon: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KARŞI TARAF : [Ad Soyad] — T.C. No: [Varsa] — Adres: [Varsa]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Nişanlılığın sona ermesi nedeniyle verilen hediyelerin iadesi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[NİŞAN TARİHİ] tarihinde nişanlandık; nişanlılık [SONA ERME TARİHİ] tarihinde [SONA ERME SEBEBİ] nedeniyle sona ermiştir.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Nişan dolayısıyla tarafınıza verilen; [HEDİYE LİSTESİ: örn. tektaş yüzük, alyans, bilezik (g ram), takı seti] hediyelerin iadesini talep ediyorum.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Söz konusu hediyeler; nişanlılık ilişkisi çerçevesinde verilmiş olup Türk Medeni Kanunu'nun 122. maddesi uyarınca geri istenebilir niteliktedir.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Hediyelerin [SÜRE: örn. 15 gün] içinde tarafıma İADESİNİ; aksi hâlde yasal yollara (iade davası) başvuracağımı bildiririm.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Talebimin karşılanmasını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[Varsa] hediye alım belgeleri.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