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3. ÖRNEK: YOKSULLUK NAFAKASıNıN KALDıRıLMASı DAVASı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3. Örnek: Yoksulluk Nafakasının Kaldırılması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YOKSULLUK NAFAKASININ KALDIRILMASI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Davalı lehine hükmedilen yoksulluk nafakasının kaldırılması.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boşanmış; davalı lehine aylık [TUTAR] TL yoksulluk nafakasına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Hüküm tarihinden sonra koşullar değişmiştir: [KALDIRMA GEREKÇESİ: örn. davalı yeniden evlenmiştir / düzenli ve yeterli gelire kavuşmuştur / fiilen evli gibi yaşamaktadır.]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Türk Medeni Kanunu'nun 176. maddesi uyarınca, davalının yeniden evlenmesi hâlinde yoksulluk nafakası kendiliğinden sona erer; diğer değişen koşullarda da 331. madde uyarınca nafakanın kaldırılması gerekir.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176, 331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 (evlilik durumu), davalının gelirini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Davalı lehine hükmedilen yoksulluk nafakasının kaldırılmasına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