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3. ÖRNEK: YOKSULLUK NAFAKASıNıN KALDıRıLMASı DAVASı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3. Örnek: Yoksulluk Nafakasının Kaldırılması Davası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YOKSULLUK NAFAKASININ KALDIRILMASI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Davalı lehine hükmedilen yoksulluk nafakasının kaldırılması.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boşanmış; davalı lehine aylık [TUTAR] TL yoksulluk nafakasına hükmedilmiştir.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Hüküm tarihinden sonra koşullar değişmiştir: [KALDIRMA GEREKÇESİ: örn. davalı yeniden evlenmiştir / düzenli ve yeterli gelire kavuşmuştur / fiilen evli gibi yaşamaktadır.]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Türk Medeni Kanunu'nun 176. maddesi uyarınca, davalının yeniden evlenmesi hâlinde yoksulluk nafakası kendiliğinden sona erer; diğer değişen koşullarda da 331. madde uyarınca nafakanın kaldırılması gerekir.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176, 331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 (evlilik durumu), davalının gelirini gösterir belgeler,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 lehine hükmedilen yoksulluk nafakasının kaldırılmasına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