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İşTIRAK NAFAKASıNıN ARTıRıLMASı DAVASı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İştirak Nafakasının Artırılması Davası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İŞTİRAK NAFAKASININ ARTIRILMASI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Müşterek çocuk lehine hükmedilen iştirak nafakasının artırılması.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[BOŞANMA TARİHİ] tarihinde [MAHKEME ADI]'nin [KARAR NO] sayılı kararıyla boşanmış; müşterek çocuk [ÇOCUK ADI] için aylık [ESKİ TUTAR] TL iştirak nafakasına hükmedilmiştir.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Hüküm tarihinden bu yana çocuğun giderleri önemli ölçüde artmıştır: [ÖRN: eğitim masrafları, özel ders, sağlık giderleri, barınma giderlerindeki artış — somut kalemlerle açıklayın].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Davalının gelir ve ekonomik durumu [DEĞİŞİKLİK: örn. düzenli işe girmiş / maaşı artmış] olup artan giderleri karşılayabilecek durumdadır.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Türk Medeni Kanunu'nun 331. maddesi uyarınca koşulların değişmesi nedeniyle nafakanın artırılması gerekmektedir.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182, 330, 331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Boşanma ilamı, gider belgeleri (fatura, okul ücreti, kira sözleşmesi), davalının gelir durumunu gösterir belgeler,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Müşterek çocuk lehine hükmedilen aylık [ESKİ TUTAR] TL iştirak nafakasının, dava tarihinden itibaren aylık [YENİ TUTAR] TL'ye artırılmasına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