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İşTIRAK NAFAKASıNıN ARTıRıLMASı DAVASı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İştirak Nafakasının Artırılması Davası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İŞTİRAK NAFAKASININ ARTIRILMASI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Müşterek çocuk lehine hükmedilen iştirak nafakasının artırılması.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[BOŞANMA TARİHİ] tarihinde [MAHKEME ADI]'nin [KARAR NO] sayılı kararıyla boşanmış; müşterek çocuk [ÇOCUK ADI] için aylık [ESKİ TUTAR] TL iştirak nafakasına hükmedilmiştir.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Hüküm tarihinden bu yana çocuğun giderleri önemli ölçüde artmıştır: [ÖRN: eğitim masrafları, özel ders, sağlık giderleri, barınma giderlerindeki artış — somut kalemlerle açıklayın].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Davalının gelir ve ekonomik durumu [DEĞİŞİKLİK: örn. düzenli işe girmiş / maaşı artmış] olup artan giderleri karşılayabilecek durumdadır.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Türk Medeni Kanunu'nun 331. maddesi uyarınca koşulların değişmesi nedeniyle nafakanın artırılması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182, 330, 331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Boşanma ilamı, gider belgeleri (fatura, okul ücreti, kira sözleşmesi), davalının gelir durumunu gösterir belgeler,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Müşterek çocuk lehine hükmedilen aylık [ESKİ TUTAR] TL iştirak nafakasının, dava tarihinden itibaren aylık [YENİ TUTAR] TL'ye artırılmasına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