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NAFAKA ARTıRıM DAVASı DILEKçESI NASıL YAZıLıR? (TMK 331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Nafaka Artırım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NAFAKA ARTIRIM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[Nafaka Yükümlüsü Ad Soyad]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Nafakanın artırılması (TMK madde 331).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[MAHKEME ADI]'nin [ESAS NO] esas sayılı dosyasında [KARAR TARİHİ] tarihinde verilen kararla davalının, davacıya [iştirak/yoksulluk] nafakası olarak aylık [TUTAR] TL ödemesine hükmedilmiştir.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Karar tarihinden sonra [KOŞUL DEĞİŞİKLİĞİ: davalının geliri artmış / çocuğun eğitim ve bakım giderleri yükselmiş / enflasyon karşısında nafaka yetersiz kalmıştır] durumu ortaya çıkmıştır.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Güncel ihtiyaç ve gelir verileri gözetildiğinde nafakanın aylık [YENİ TUTAR] TL olarak belirlenmesi hakkaniyete uygundur.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TMK madde 331, 330, 329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Nafaka kararı, gelir belgeleri, gider faturaları, TÜFE verileri, tanık.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Nafakanın dava tarihinden itibaren aylık [YENİ TUTAR] TL olarak ARTIRILMASINA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