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MAZERET İZNI DILEKçESI NASıL YAZıLıR? (657/104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Mazeret İzni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 İZNİ DİLEKÇESİ (MEMUR)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[BİRİM] Amirliği'ne,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[MAZERET: evlenme / ölüm / doğum / refakat / hastalık] nedeniyle, 657 sayılı Devlet Memurları Kanunu'nun 104. maddesi uyarınca [BAŞLANGIÇ] - [BİTİŞ] tarihleri arasında [GÜN] gün mazeret izni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Ek belge/rapor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