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KREDI DOSYA MASRAFı İADE TALEP DILEKçESI NASıL YAZıLıR? (BANKAYA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Dosya Masrafı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DOSYA MASRAFI İADE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Şubesi'ne /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: [KREDİ TÜRÜ] — Sözleşme No: [...] — Kullanım Tarihi: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Kredi kullanımında tahsil edilen dosya masrafı/komisyon bedellerinin İADESİ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kullandığım [KREDİ] kapsamında; [MASRAF KALEMLERİ: dosya masrafı [TUTAR] TL, komisyon [TUTAR] TL, ekspertiz [TUTAR] TL] tutarları tarafımdan tahsil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 konusu masraflar; [GEREKÇE: örn. tarafıma önceden bildirilmemiş, miktarı ve niteliği sözleşmede açıkça gösterilmemiştir / hizmet karşılığı olmayan bedellerdir].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Yargıtay içtihatları ve tüketici mevzuatı uyarınca; tahsil edilen [TUTAR] TL'nin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30 gün içinde karşılanmaması hâlinde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Kredi sözleşmesi, hesap hareketleri,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