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KIRA TAHLIYE DAVASı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Kira Tahliye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 TAHLİYE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(Kiraya Veren)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(Kiracı) : [Ad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Kiralananın tahliyesi.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 [KİRA SÖZLEŞMESİ TARİHİ] tarihli, [KİRALANANIN ADRESİ] adresindeki taşınmaza ilişkin kira sözleşmesi bulunmaktadır; aylık kira [TUTAR] TL'dir.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[TAHLİYE SEBEBİ: a) Kiracı [TARİH] tarihinden itibaren [AY] aylık kira bedelini ödememiştir; [İHTAR TARİHİ] tarihli noter/taahhütlü ihtarla 10 günlük süre tanınmış, ihtara rağmen ödeme yapılmamıştır. / b) Kira sözleşmesi [BİTİŞ TARİHİ] tarihinde sona ermiş, kiracı taşınmazı boşaltmamıştır. / c) Davalı, [TARİH] tarihli tahliye taahhüdü ile kiralananı [TAHLİYE TARİHİ]'nde boşaltmayı kabul etmiştir.]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Kiralananın tahliyesi için tüm yasal koşullar oluşmuştur.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TBK madde 347-354; 6100 sayılı HMK.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Kira sözleşmesi, ödeme kayıtları, ihtar, tahliye taahhüdü, tanık.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Kiralananın TAHLİYESİNE ve kira alacağının [varsa] tahsiline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