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KIRA BEDELI TESPIT DAVASı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Kira Bedeli Tespit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KİRA BEDELİ TESPİT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Sulh 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[Kiraya Veren/Kiracı — 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[Karşı Taraf] — T.C. No/Unvan: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Kira bedelinin tespiti.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 arasında [KİRA SÖZLEŞMESİ TARİHİ] tarihli, [ADRES] adresindeki taşınmaza ilişkin kira sözleşmesi bulunmaktadır.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Sözleşme [5 YILDAN UZUN SÜRELİDİR / 5 YIL SONUNDA YENİLENMİŞTİR] ve kira bedelinin artışı konusunda anlaşma sağlanamamıştır.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Kiralananın emsal kira bedeli; [EMSAL BİLGİLERİ] dikkate alındığında aylık [TUTAR] TL'dir. Mevcut kira bedeli [TUTAR] TL olup emsallerin oldukça altındadır.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Türk Borçlar Kanunu'nun 344. maddesi uyarınca kira bedelinin hakkaniyete uygun biçimde tespiti gerekmektedir.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TBK madde 344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Kira sözleşmesi, ödeme kayıtları, emsal kira araştırması, bilirkişi incelemesi.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Kira bedelinin dava tarihinden itibaren aylık [TUTAR] TL olarak tespitine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