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KIRA BEDELI TESPIT DAVASı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Kira Bedeli Tespit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KİRA BEDELİ TESPİT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Hukuk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[Kiraya Veren/Kiracı — 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[Karşı Taraf] — T.C. No/Unvan: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Kira bedelinin tespiti.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arasında [KİRA SÖZLEŞMESİ TARİHİ] tarihli, [ADRES] adresindeki taşınmaza ilişkin kira sözleşmesi bulunmaktadır.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Sözleşme [5 YILDAN UZUN SÜRELİDİR / 5 YIL SONUNDA YENİLENMİŞTİR] ve kira bedelinin artışı konusunda anlaşma sağlanamamıştır.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Kiralananın emsal kira bedeli; [EMSAL BİLGİLERİ] dikkate alındığında aylık [TUTAR] TL'dir. Mevcut kira bedeli [TUTAR] TL olup emsallerin oldukça altındadır.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Türk Borçlar Kanunu'nun 344. maddesi uyarınca kira bedelinin hakkaniyete uygun biçimde tespiti gerekmektedir.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TBK madde 344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Kira sözleşmesi, ödeme kayıtları, emsal kira araştırması, bilirkişi incelemesi.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Kira bedelinin dava tarihinden itibaren aylık [TUTAR] TL olarak tespitine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