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KIRA BEDELI TESPIT DAVASı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Kira Bedeli Tespit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KİRA BEDELİ TESPİT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[Kiraya Veren/Kiracı — 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[Karşı Taraf] — T.C. No/Unvan: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Kira bedelinin tespiti.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arasında [KİRA SÖZLEŞMESİ TARİHİ] tarihli, [ADRES] adresindeki taşınmaza ilişkin kira sözleşmesi bulunmaktadır.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Sözleşme [5 YILDAN UZUN SÜRELİDİR / 5 YIL SONUNDA YENİLENMİŞTİR] ve kira bedelinin artışı konusunda anlaşma sağlanamamıştır.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Kiralananın emsal kira bedeli; [EMSAL BİLGİLERİ] dikkate alındığında aylık [TUTAR] TL'dir. Mevcut kira bedeli [TUTAR] TL olup emsallerin oldukça altındadır.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Türk Borçlar Kanunu'nun 344. maddesi uyarınca kira bedelinin hakkaniyete uygun biçimde tespiti gerekmektedir.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TBK madde 344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Kira sözleşmesi, ödeme kayıtları, emsal kira araştırması, bilirkişi incelemesi.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Kira bedelinin dava tarihinden itibaren aylık [TUTAR] TL olarak tespitine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