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KENTSEL DöNüşüM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Kentsel Dönüşüm Müdürlüğüne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BÜYÜKŞEHİR/İLÇE BELEDİYESİ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KENTSEL DÖNÜŞÜM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Riskli yapı tespiti ve kentsel dönüşüm süreci başlatılması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[ADRES] adresinde bulunan ve tapuda [ADA/PARSEL] kayıtlı taşınmaz üzerindeki bina, 6306 sayılı Kanun kapsamında riskli yapı niteliği taşımaktadır. Bina [YAPIM YILI] yılında inşa edilmiş olup [mevcut hasarlar: çatlak, donatı korozyonu vb.] bulguları mevcuttur.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yapının riskli yapı olarak tespiti ve dönüşüm sürecinin başlatılması için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Tapu fotokopisi, kimlik fotokopisi, yapı fotoğrafları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Kat Malikleri Kurulu Kararı Örneği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[BİNA ADI] KAT MALİKLERİ KURULU KARARI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TOPLANTI TARİHİ: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TOPLANTI YERİ: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GÜNDEM: Riskli yapı tespiti başvurusu yapılması ve kentsel dönüşüm sürecinin başlatılması.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KARAR: Yukarıda adresi belirtilen binanın 6306 sayılı Kanun kapsamında riskli yapı tespitinin yaptırılması ve belediyeye başvurulması için [AD SOYAD]'a yetki verilmesine, kat maliklerinin [OY ORANI] oy çokluğu ile karar verilmiştir.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Kat Maliki Ad Soyad                    İmza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____________________                   __________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