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İDARI PARA CEZASı SONRASı OMBUDSMAN BAşVURUSU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İdari Para Cezası Sonrası Ombudsman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KAMU DENETÇİLİĞİ KURUMU BAŞKANLIĞINA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Tarafıma uygulanan idari para cezasına ilişkin şikâyet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ŞİKÂYETÇİ: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 — T.C.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 — 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 İDARE: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— [BİRİM]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[TARİH] tarihinde tarafıma, [İŞLEM TÜRÜ] nedeniyle [TUTAR] TL idari para cezası uygulanmıştır (Karar No: [NO]).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Söz konusu karara [TARİH] tarihinde [SULH CEZA HAKİMLİĞİNE / İLGİLİ MERCİYE] itiraz edilmiş; itirazım [TARİH] tarihinde reddedilmiştir.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Uygulanan ceza; [CEZANIN DAYANAKSIZLIĞI / ÖLÇÜSÜZLÜĞÜ / USUL AYKIRILIĞI / TARAFIMA TEBLİĞ EDİLMEMESİ] nedenleriyle hukuka aykırıdır.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Cezanın hukuka aykırılığının tespitini ve iptaline ilişkin olarak ilgili idareye tavsiyede bulunulmasını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İdari para cezası kararı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İtiraz dilekçesi ve mahkeme kararı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Kimlik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