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KADASTRO TESPITINE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Kadastro Tespitine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KADASTRO TESPİTİNE İTİRAZ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Kadastro Mahkemesi'ne (yoksa Asliye Hukuk),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[Tespit lehtarı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Kadastro Müdürlüğü]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[KÖY/MAHALLE], [ADA], [PARSEL] — Kadastro tespit tutanağı: [TARİH/NO]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Kadastro tespitinin iptali ile taşınmazın davacı adına tescili.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taşınmazın kadastro tespiti; [HATA: örn. taşınmaz davalı adına tespit edilmiştir / yüzölçümü eksik belirlenmiştir / sınırlar hatalıdır] şeklinde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Taşınmazın gerçek hak sahibi davacıdır; [DAYANAKLAR: tapu kaydı / vergi kaydı / [SÜRE] yıllık zilyetlik / miras] belgeleri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Kadastro tespiti, askı ilanından itibaren 30 günlük yasal süre içinde işbu dilekçe ile İTİRAZ EDİLMİŞTİR.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3402 sayılı Kadastro Kanunu madde 25-26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Kadastro tespit tutanağı, tapu/vergi kayıtları, zilyetlik belgeleri, keşif,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Kadastro tespitinin İPTALİNE ve taşınmazın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